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8C4" w14:textId="77777777" w:rsidR="004235C2" w:rsidRDefault="004235C2">
      <w:pPr>
        <w:ind w:right="6"/>
        <w:jc w:val="center"/>
        <w:rPr>
          <w:sz w:val="20"/>
          <w:szCs w:val="20"/>
        </w:rPr>
      </w:pPr>
    </w:p>
    <w:p w14:paraId="71E788F2" w14:textId="6D017B82" w:rsidR="004235C2" w:rsidRDefault="004235C2">
      <w:pPr>
        <w:spacing w:line="20" w:lineRule="exact"/>
        <w:rPr>
          <w:sz w:val="24"/>
          <w:szCs w:val="24"/>
        </w:rPr>
      </w:pPr>
    </w:p>
    <w:p w14:paraId="5A7DB2A2" w14:textId="77777777" w:rsidR="004235C2" w:rsidRDefault="004235C2">
      <w:pPr>
        <w:spacing w:line="200" w:lineRule="exact"/>
        <w:rPr>
          <w:sz w:val="24"/>
          <w:szCs w:val="24"/>
        </w:rPr>
      </w:pPr>
    </w:p>
    <w:p w14:paraId="233AE179" w14:textId="77777777" w:rsidR="004235C2" w:rsidRDefault="004235C2">
      <w:pPr>
        <w:spacing w:line="200" w:lineRule="exact"/>
        <w:rPr>
          <w:sz w:val="24"/>
          <w:szCs w:val="24"/>
        </w:rPr>
      </w:pPr>
    </w:p>
    <w:p w14:paraId="08BD7CD5" w14:textId="458045C0" w:rsidR="004235C2" w:rsidRPr="00A5701C" w:rsidRDefault="00125AF4" w:rsidP="00125AF4">
      <w:pPr>
        <w:spacing w:line="250" w:lineRule="exact"/>
        <w:jc w:val="center"/>
        <w:rPr>
          <w:rFonts w:ascii="Arial" w:hAnsi="Arial" w:cs="Arial"/>
          <w:b/>
          <w:bCs/>
          <w:sz w:val="20"/>
          <w:szCs w:val="20"/>
        </w:rPr>
      </w:pPr>
      <w:r w:rsidRPr="00A5701C">
        <w:rPr>
          <w:rFonts w:ascii="Arial" w:hAnsi="Arial" w:cs="Arial"/>
          <w:b/>
          <w:bCs/>
          <w:sz w:val="20"/>
          <w:szCs w:val="20"/>
        </w:rPr>
        <w:t>Wentworth Parish Council</w:t>
      </w:r>
    </w:p>
    <w:p w14:paraId="375C69CB" w14:textId="77777777" w:rsidR="00150782" w:rsidRPr="00A5701C" w:rsidRDefault="00150782">
      <w:pPr>
        <w:ind w:right="6"/>
        <w:jc w:val="center"/>
        <w:rPr>
          <w:rFonts w:ascii="Arial" w:eastAsia="Arial" w:hAnsi="Arial" w:cs="Arial"/>
          <w:b/>
          <w:bCs/>
          <w:sz w:val="20"/>
          <w:szCs w:val="20"/>
        </w:rPr>
      </w:pPr>
    </w:p>
    <w:p w14:paraId="686ABC3C" w14:textId="5C655AE2" w:rsidR="004235C2" w:rsidRDefault="00DC3148">
      <w:pPr>
        <w:ind w:right="6"/>
        <w:jc w:val="center"/>
        <w:rPr>
          <w:rFonts w:ascii="Arial" w:eastAsia="Arial" w:hAnsi="Arial" w:cs="Arial"/>
          <w:b/>
          <w:bCs/>
          <w:sz w:val="20"/>
          <w:szCs w:val="20"/>
        </w:rPr>
      </w:pPr>
      <w:r w:rsidRPr="00A5701C">
        <w:rPr>
          <w:rFonts w:ascii="Arial" w:eastAsia="Arial" w:hAnsi="Arial" w:cs="Arial"/>
          <w:b/>
          <w:bCs/>
          <w:sz w:val="20"/>
          <w:szCs w:val="20"/>
        </w:rPr>
        <w:t>TRANSPARENCY POLICY</w:t>
      </w:r>
    </w:p>
    <w:p w14:paraId="61C4473A" w14:textId="77777777" w:rsidR="004235C2" w:rsidRDefault="004235C2">
      <w:pPr>
        <w:spacing w:line="200" w:lineRule="exact"/>
        <w:rPr>
          <w:sz w:val="24"/>
          <w:szCs w:val="24"/>
        </w:rPr>
      </w:pPr>
    </w:p>
    <w:p w14:paraId="3E507677" w14:textId="77777777" w:rsidR="0078336B" w:rsidRPr="0078336B" w:rsidRDefault="0078336B" w:rsidP="0078336B">
      <w:pPr>
        <w:ind w:right="6"/>
        <w:jc w:val="center"/>
        <w:rPr>
          <w:rFonts w:ascii="Arial" w:hAnsi="Arial" w:cs="Arial"/>
          <w:b/>
          <w:bCs/>
          <w:sz w:val="20"/>
          <w:szCs w:val="20"/>
        </w:rPr>
      </w:pPr>
      <w:r w:rsidRPr="0078336B">
        <w:rPr>
          <w:rFonts w:ascii="Arial" w:hAnsi="Arial" w:cs="Arial"/>
          <w:b/>
          <w:bCs/>
          <w:sz w:val="20"/>
          <w:szCs w:val="20"/>
        </w:rPr>
        <w:t>Adopted by the Parish Council 18th May 2026</w:t>
      </w:r>
    </w:p>
    <w:p w14:paraId="2FDD8607" w14:textId="77777777" w:rsidR="0078336B" w:rsidRPr="0078336B" w:rsidRDefault="0078336B" w:rsidP="0078336B">
      <w:pPr>
        <w:ind w:right="6"/>
        <w:jc w:val="center"/>
        <w:rPr>
          <w:rFonts w:ascii="Arial" w:hAnsi="Arial" w:cs="Arial"/>
          <w:b/>
          <w:bCs/>
          <w:sz w:val="20"/>
          <w:szCs w:val="20"/>
        </w:rPr>
      </w:pPr>
      <w:r w:rsidRPr="0078336B">
        <w:rPr>
          <w:rFonts w:ascii="Arial" w:hAnsi="Arial" w:cs="Arial"/>
          <w:b/>
          <w:bCs/>
          <w:sz w:val="20"/>
          <w:szCs w:val="20"/>
        </w:rPr>
        <w:t>To Be Reviewed May 2027</w:t>
      </w:r>
    </w:p>
    <w:p w14:paraId="41ED5875" w14:textId="77777777" w:rsidR="004235C2" w:rsidRDefault="004235C2">
      <w:pPr>
        <w:spacing w:line="200" w:lineRule="exact"/>
        <w:rPr>
          <w:sz w:val="24"/>
          <w:szCs w:val="24"/>
        </w:rPr>
      </w:pPr>
    </w:p>
    <w:p w14:paraId="1CCB161A" w14:textId="77777777" w:rsidR="004235C2" w:rsidRPr="00DC3148" w:rsidRDefault="00DC3148">
      <w:pPr>
        <w:rPr>
          <w:rFonts w:ascii="Arial" w:hAnsi="Arial" w:cs="Arial"/>
          <w:sz w:val="20"/>
          <w:szCs w:val="20"/>
        </w:rPr>
      </w:pPr>
      <w:r w:rsidRPr="00DC3148">
        <w:rPr>
          <w:rFonts w:ascii="Arial" w:eastAsia="Arial" w:hAnsi="Arial" w:cs="Arial"/>
          <w:b/>
          <w:bCs/>
          <w:sz w:val="20"/>
          <w:szCs w:val="20"/>
        </w:rPr>
        <w:t>INTRODUCTION</w:t>
      </w:r>
    </w:p>
    <w:p w14:paraId="361B980C" w14:textId="77777777" w:rsidR="004235C2" w:rsidRPr="00DC3148" w:rsidRDefault="004235C2">
      <w:pPr>
        <w:spacing w:line="198" w:lineRule="exact"/>
        <w:rPr>
          <w:rFonts w:ascii="Arial" w:hAnsi="Arial" w:cs="Arial"/>
          <w:sz w:val="20"/>
          <w:szCs w:val="20"/>
        </w:rPr>
      </w:pPr>
    </w:p>
    <w:p w14:paraId="31599AA3" w14:textId="77777777" w:rsidR="00DC3148" w:rsidRDefault="00DC3148">
      <w:pPr>
        <w:spacing w:line="257" w:lineRule="auto"/>
        <w:ind w:right="106"/>
        <w:rPr>
          <w:rFonts w:ascii="Arial" w:eastAsia="Arial" w:hAnsi="Arial" w:cs="Arial"/>
          <w:sz w:val="20"/>
          <w:szCs w:val="20"/>
        </w:rPr>
      </w:pPr>
      <w:r w:rsidRPr="00DC3148">
        <w:rPr>
          <w:rFonts w:ascii="Arial" w:eastAsia="Arial" w:hAnsi="Arial" w:cs="Arial"/>
          <w:sz w:val="20"/>
          <w:szCs w:val="20"/>
        </w:rPr>
        <w:t xml:space="preserve">The Local Government Transparency Code 2015 was issued to meet the Government’s desire to place more power into citizens’ hands to increase democratic accountability and make it easier for local people to contribute to the local decision-making process and help shape public services. </w:t>
      </w:r>
    </w:p>
    <w:p w14:paraId="4CF03718" w14:textId="77777777" w:rsidR="00DC3148" w:rsidRDefault="00DC3148">
      <w:pPr>
        <w:spacing w:line="257" w:lineRule="auto"/>
        <w:ind w:right="106"/>
        <w:rPr>
          <w:rFonts w:ascii="Arial" w:eastAsia="Arial" w:hAnsi="Arial" w:cs="Arial"/>
          <w:sz w:val="20"/>
          <w:szCs w:val="20"/>
        </w:rPr>
      </w:pPr>
    </w:p>
    <w:p w14:paraId="5BA4CB77" w14:textId="558E3E13" w:rsidR="004235C2" w:rsidRPr="00DC3148" w:rsidRDefault="00DC3148">
      <w:pPr>
        <w:spacing w:line="257" w:lineRule="auto"/>
        <w:ind w:right="106"/>
        <w:rPr>
          <w:rFonts w:ascii="Arial" w:hAnsi="Arial" w:cs="Arial"/>
          <w:sz w:val="20"/>
          <w:szCs w:val="20"/>
        </w:rPr>
      </w:pPr>
      <w:r w:rsidRPr="00DC3148">
        <w:rPr>
          <w:rFonts w:ascii="Arial" w:eastAsia="Arial" w:hAnsi="Arial" w:cs="Arial"/>
          <w:sz w:val="20"/>
          <w:szCs w:val="20"/>
        </w:rPr>
        <w:t>Transparency is the foundation of local accountability and the key that gives people the tools and information they need to enable them to play a bigger role in society. The availability of data can also open new markets for local business, the voluntary and community sectors and social enterprises to run services or manage public assets.</w:t>
      </w:r>
    </w:p>
    <w:p w14:paraId="5C1E7C87" w14:textId="77777777" w:rsidR="004235C2" w:rsidRPr="00DC3148" w:rsidRDefault="004235C2">
      <w:pPr>
        <w:spacing w:line="180" w:lineRule="exact"/>
        <w:rPr>
          <w:rFonts w:ascii="Arial" w:hAnsi="Arial" w:cs="Arial"/>
          <w:sz w:val="20"/>
          <w:szCs w:val="20"/>
        </w:rPr>
      </w:pPr>
    </w:p>
    <w:p w14:paraId="189C4141" w14:textId="77777777" w:rsidR="004235C2" w:rsidRPr="00DC3148" w:rsidRDefault="00DC3148">
      <w:pPr>
        <w:spacing w:line="255" w:lineRule="auto"/>
        <w:ind w:right="86"/>
        <w:rPr>
          <w:rFonts w:ascii="Arial" w:hAnsi="Arial" w:cs="Arial"/>
          <w:sz w:val="20"/>
          <w:szCs w:val="20"/>
        </w:rPr>
      </w:pPr>
      <w:r w:rsidRPr="00DC3148">
        <w:rPr>
          <w:rFonts w:ascii="Arial" w:eastAsia="Arial" w:hAnsi="Arial" w:cs="Arial"/>
          <w:sz w:val="20"/>
          <w:szCs w:val="20"/>
        </w:rPr>
        <w:t>‘Data’ means the objective, factual data, on which policy decisions are based and on which public services are assessed, or which is collected or generated in the course of public service delivery. This should be the basis for publication of information on the discharge of local authority functions.</w:t>
      </w:r>
    </w:p>
    <w:p w14:paraId="3D8017E8" w14:textId="77777777" w:rsidR="004235C2" w:rsidRPr="00DC3148" w:rsidRDefault="004235C2">
      <w:pPr>
        <w:spacing w:line="179" w:lineRule="exact"/>
        <w:rPr>
          <w:rFonts w:ascii="Arial" w:hAnsi="Arial" w:cs="Arial"/>
          <w:sz w:val="20"/>
          <w:szCs w:val="20"/>
        </w:rPr>
      </w:pPr>
    </w:p>
    <w:p w14:paraId="7621E915" w14:textId="77777777" w:rsidR="004235C2" w:rsidRPr="00DC3148" w:rsidRDefault="00DC3148">
      <w:pPr>
        <w:spacing w:line="256" w:lineRule="auto"/>
        <w:ind w:right="106"/>
        <w:rPr>
          <w:rFonts w:ascii="Arial" w:hAnsi="Arial" w:cs="Arial"/>
          <w:sz w:val="20"/>
          <w:szCs w:val="20"/>
        </w:rPr>
      </w:pPr>
      <w:r w:rsidRPr="00DC3148">
        <w:rPr>
          <w:rFonts w:ascii="Arial" w:eastAsia="Arial" w:hAnsi="Arial" w:cs="Arial"/>
          <w:sz w:val="20"/>
          <w:szCs w:val="20"/>
        </w:rPr>
        <w:t>The Government believes that in principle all data held and managed by local authorities should be made available to local people unless there are specific sensitivities (e.g. protecting vulnerable people or commercial and operational considerations) to doing so. It encourages local authorities to see data as a valuable resource not only to themselves, but also their partners and local people.</w:t>
      </w:r>
    </w:p>
    <w:p w14:paraId="0DF7C79D" w14:textId="77777777" w:rsidR="004235C2" w:rsidRPr="00DC3148" w:rsidRDefault="004235C2">
      <w:pPr>
        <w:spacing w:line="164" w:lineRule="exact"/>
        <w:rPr>
          <w:rFonts w:ascii="Arial" w:hAnsi="Arial" w:cs="Arial"/>
          <w:sz w:val="20"/>
          <w:szCs w:val="20"/>
        </w:rPr>
      </w:pPr>
    </w:p>
    <w:p w14:paraId="75B1849C" w14:textId="77777777" w:rsidR="004235C2" w:rsidRPr="00DC3148" w:rsidRDefault="00DC3148">
      <w:pPr>
        <w:rPr>
          <w:rFonts w:ascii="Arial" w:hAnsi="Arial" w:cs="Arial"/>
          <w:sz w:val="20"/>
          <w:szCs w:val="20"/>
        </w:rPr>
      </w:pPr>
      <w:r w:rsidRPr="00DC3148">
        <w:rPr>
          <w:rFonts w:ascii="Arial" w:eastAsia="Arial" w:hAnsi="Arial" w:cs="Arial"/>
          <w:b/>
          <w:bCs/>
          <w:sz w:val="20"/>
          <w:szCs w:val="20"/>
        </w:rPr>
        <w:t>Three principals have guided the development of this Code:</w:t>
      </w:r>
    </w:p>
    <w:p w14:paraId="363945D1" w14:textId="77777777" w:rsidR="004235C2" w:rsidRPr="00DC3148" w:rsidRDefault="004235C2">
      <w:pPr>
        <w:spacing w:line="214" w:lineRule="exact"/>
        <w:rPr>
          <w:rFonts w:ascii="Arial" w:hAnsi="Arial" w:cs="Arial"/>
          <w:sz w:val="20"/>
          <w:szCs w:val="20"/>
        </w:rPr>
      </w:pPr>
    </w:p>
    <w:p w14:paraId="4E382131" w14:textId="77777777" w:rsidR="004235C2" w:rsidRPr="00DC3148" w:rsidRDefault="00DC3148">
      <w:pPr>
        <w:numPr>
          <w:ilvl w:val="0"/>
          <w:numId w:val="1"/>
        </w:numPr>
        <w:tabs>
          <w:tab w:val="left" w:pos="178"/>
        </w:tabs>
        <w:spacing w:line="257" w:lineRule="auto"/>
        <w:ind w:right="126"/>
        <w:rPr>
          <w:rFonts w:ascii="Arial" w:eastAsia="Arial" w:hAnsi="Arial" w:cs="Arial"/>
          <w:sz w:val="20"/>
          <w:szCs w:val="20"/>
        </w:rPr>
      </w:pPr>
      <w:r w:rsidRPr="00DC3148">
        <w:rPr>
          <w:rFonts w:ascii="Arial" w:eastAsia="Arial" w:hAnsi="Arial" w:cs="Arial"/>
          <w:sz w:val="20"/>
          <w:szCs w:val="20"/>
        </w:rPr>
        <w:t>demand led – there are growing expectations that new technologies and publication of data should support transparency and accountability. It is vital that public bodies recognise the value to the public of the data they hold, understand what they hold, what their communities want and then release it in a way that allows the public, developers and the media to use it</w:t>
      </w:r>
    </w:p>
    <w:p w14:paraId="5A5E2C77" w14:textId="77777777" w:rsidR="004235C2" w:rsidRPr="00DC3148" w:rsidRDefault="004235C2">
      <w:pPr>
        <w:spacing w:line="193" w:lineRule="exact"/>
        <w:rPr>
          <w:rFonts w:ascii="Arial" w:eastAsia="Arial" w:hAnsi="Arial" w:cs="Arial"/>
          <w:sz w:val="20"/>
          <w:szCs w:val="20"/>
        </w:rPr>
      </w:pPr>
    </w:p>
    <w:p w14:paraId="69DCBF00" w14:textId="77777777" w:rsidR="004235C2" w:rsidRPr="00DC3148" w:rsidRDefault="00DC3148">
      <w:pPr>
        <w:numPr>
          <w:ilvl w:val="0"/>
          <w:numId w:val="1"/>
        </w:numPr>
        <w:tabs>
          <w:tab w:val="left" w:pos="178"/>
        </w:tabs>
        <w:spacing w:line="257" w:lineRule="auto"/>
        <w:ind w:right="106"/>
        <w:rPr>
          <w:rFonts w:ascii="Arial" w:eastAsia="Arial" w:hAnsi="Arial" w:cs="Arial"/>
          <w:sz w:val="20"/>
          <w:szCs w:val="20"/>
        </w:rPr>
      </w:pPr>
      <w:r w:rsidRPr="00DC3148">
        <w:rPr>
          <w:rFonts w:ascii="Arial" w:eastAsia="Arial" w:hAnsi="Arial" w:cs="Arial"/>
          <w:sz w:val="20"/>
          <w:szCs w:val="20"/>
        </w:rPr>
        <w:t>open – provision of public data should become integral to local authority engagement with local people so that it drives accountability to them. Its availability should be promoted and publicised so that residents know how to access it and how it can be used. Presentation should be helpful and accessible to local people and other interested persons, and</w:t>
      </w:r>
    </w:p>
    <w:p w14:paraId="549840CF" w14:textId="77777777" w:rsidR="004235C2" w:rsidRPr="00DC3148" w:rsidRDefault="004235C2">
      <w:pPr>
        <w:spacing w:line="200" w:lineRule="exact"/>
        <w:rPr>
          <w:rFonts w:ascii="Arial" w:hAnsi="Arial" w:cs="Arial"/>
          <w:sz w:val="20"/>
          <w:szCs w:val="20"/>
        </w:rPr>
      </w:pPr>
    </w:p>
    <w:p w14:paraId="4F2BF2A1" w14:textId="77777777" w:rsidR="004235C2" w:rsidRPr="00DC3148" w:rsidRDefault="00DC3148">
      <w:pPr>
        <w:numPr>
          <w:ilvl w:val="0"/>
          <w:numId w:val="2"/>
        </w:numPr>
        <w:tabs>
          <w:tab w:val="left" w:pos="178"/>
        </w:tabs>
        <w:spacing w:line="255" w:lineRule="auto"/>
        <w:ind w:right="26"/>
        <w:rPr>
          <w:rFonts w:ascii="Arial" w:eastAsia="Arial" w:hAnsi="Arial" w:cs="Arial"/>
          <w:sz w:val="20"/>
          <w:szCs w:val="20"/>
        </w:rPr>
      </w:pPr>
      <w:bookmarkStart w:id="0" w:name="page2"/>
      <w:bookmarkEnd w:id="0"/>
      <w:r w:rsidRPr="00DC3148">
        <w:rPr>
          <w:rFonts w:ascii="Arial" w:eastAsia="Arial" w:hAnsi="Arial" w:cs="Arial"/>
          <w:sz w:val="20"/>
          <w:szCs w:val="20"/>
        </w:rPr>
        <w:t>timely – the timeliness of making public data available is often of vital importance. It should be made public as soon as possible following production even if it is not accompanied with detailed analysis.</w:t>
      </w:r>
    </w:p>
    <w:p w14:paraId="6407D75D" w14:textId="77777777" w:rsidR="004235C2" w:rsidRPr="00DC3148" w:rsidRDefault="004235C2">
      <w:pPr>
        <w:spacing w:line="175" w:lineRule="exact"/>
        <w:rPr>
          <w:rFonts w:ascii="Arial" w:hAnsi="Arial" w:cs="Arial"/>
          <w:sz w:val="20"/>
          <w:szCs w:val="20"/>
        </w:rPr>
      </w:pPr>
    </w:p>
    <w:p w14:paraId="1BDDF290" w14:textId="77777777" w:rsidR="004235C2" w:rsidRPr="00DC3148" w:rsidRDefault="00DC3148">
      <w:pPr>
        <w:spacing w:line="251" w:lineRule="auto"/>
        <w:ind w:right="846"/>
        <w:rPr>
          <w:rFonts w:ascii="Arial" w:hAnsi="Arial" w:cs="Arial"/>
          <w:sz w:val="20"/>
          <w:szCs w:val="20"/>
        </w:rPr>
      </w:pPr>
      <w:r w:rsidRPr="00DC3148">
        <w:rPr>
          <w:rFonts w:ascii="Arial" w:eastAsia="Arial" w:hAnsi="Arial" w:cs="Arial"/>
          <w:b/>
          <w:bCs/>
          <w:sz w:val="20"/>
          <w:szCs w:val="20"/>
        </w:rPr>
        <w:t>This Code ensures local people can now see and access data covering:</w:t>
      </w:r>
    </w:p>
    <w:p w14:paraId="2CAF47BE" w14:textId="77777777" w:rsidR="004235C2" w:rsidRPr="00DC3148" w:rsidRDefault="004235C2">
      <w:pPr>
        <w:spacing w:line="199" w:lineRule="exact"/>
        <w:rPr>
          <w:rFonts w:ascii="Arial" w:hAnsi="Arial" w:cs="Arial"/>
          <w:sz w:val="20"/>
          <w:szCs w:val="20"/>
        </w:rPr>
      </w:pPr>
    </w:p>
    <w:p w14:paraId="5B601E29" w14:textId="77777777" w:rsidR="004235C2" w:rsidRPr="00DC3148" w:rsidRDefault="00DC3148">
      <w:pPr>
        <w:numPr>
          <w:ilvl w:val="0"/>
          <w:numId w:val="3"/>
        </w:numPr>
        <w:tabs>
          <w:tab w:val="left" w:pos="178"/>
        </w:tabs>
        <w:spacing w:line="272" w:lineRule="auto"/>
        <w:ind w:right="926"/>
        <w:jc w:val="both"/>
        <w:rPr>
          <w:rFonts w:ascii="Arial" w:eastAsia="Arial" w:hAnsi="Arial" w:cs="Arial"/>
          <w:sz w:val="20"/>
          <w:szCs w:val="20"/>
        </w:rPr>
      </w:pPr>
      <w:r w:rsidRPr="00DC3148">
        <w:rPr>
          <w:rFonts w:ascii="Arial" w:eastAsia="Arial" w:hAnsi="Arial" w:cs="Arial"/>
          <w:sz w:val="20"/>
          <w:szCs w:val="20"/>
        </w:rPr>
        <w:t>how money is spent – for example, all spending transactions over £500, all Government Procurement Card spending, and contracts valued over £5,000</w:t>
      </w:r>
    </w:p>
    <w:p w14:paraId="1171F871" w14:textId="77777777" w:rsidR="004235C2" w:rsidRPr="00DC3148" w:rsidRDefault="004235C2">
      <w:pPr>
        <w:spacing w:line="175" w:lineRule="exact"/>
        <w:rPr>
          <w:rFonts w:ascii="Arial" w:eastAsia="Arial" w:hAnsi="Arial" w:cs="Arial"/>
          <w:sz w:val="20"/>
          <w:szCs w:val="20"/>
        </w:rPr>
      </w:pPr>
    </w:p>
    <w:p w14:paraId="5C54CFF4" w14:textId="77777777" w:rsidR="004235C2" w:rsidRPr="00DC3148" w:rsidRDefault="00DC3148">
      <w:pPr>
        <w:numPr>
          <w:ilvl w:val="0"/>
          <w:numId w:val="3"/>
        </w:numPr>
        <w:tabs>
          <w:tab w:val="left" w:pos="178"/>
        </w:tabs>
        <w:spacing w:line="251" w:lineRule="auto"/>
        <w:ind w:right="66"/>
        <w:rPr>
          <w:rFonts w:ascii="Arial" w:eastAsia="Arial" w:hAnsi="Arial" w:cs="Arial"/>
          <w:sz w:val="20"/>
          <w:szCs w:val="20"/>
        </w:rPr>
      </w:pPr>
      <w:r w:rsidRPr="00DC3148">
        <w:rPr>
          <w:rFonts w:ascii="Arial" w:eastAsia="Arial" w:hAnsi="Arial" w:cs="Arial"/>
          <w:sz w:val="20"/>
          <w:szCs w:val="20"/>
        </w:rPr>
        <w:t>use of assets – ensuring that local people are able to scrutinise how well their local authority manages its assets.</w:t>
      </w:r>
    </w:p>
    <w:p w14:paraId="3CBAB9BA" w14:textId="77777777" w:rsidR="004235C2" w:rsidRPr="00DC3148" w:rsidRDefault="004235C2">
      <w:pPr>
        <w:spacing w:line="197" w:lineRule="exact"/>
        <w:rPr>
          <w:rFonts w:ascii="Arial" w:eastAsia="Arial" w:hAnsi="Arial" w:cs="Arial"/>
          <w:sz w:val="20"/>
          <w:szCs w:val="20"/>
        </w:rPr>
      </w:pPr>
    </w:p>
    <w:p w14:paraId="6273F899" w14:textId="77777777" w:rsidR="004235C2" w:rsidRPr="00DC3148" w:rsidRDefault="00DC3148">
      <w:pPr>
        <w:numPr>
          <w:ilvl w:val="0"/>
          <w:numId w:val="3"/>
        </w:numPr>
        <w:tabs>
          <w:tab w:val="left" w:pos="178"/>
        </w:tabs>
        <w:spacing w:line="251" w:lineRule="auto"/>
        <w:ind w:right="186"/>
        <w:rPr>
          <w:rFonts w:ascii="Arial" w:eastAsia="Arial" w:hAnsi="Arial" w:cs="Arial"/>
          <w:sz w:val="20"/>
          <w:szCs w:val="20"/>
        </w:rPr>
      </w:pPr>
      <w:r w:rsidRPr="00DC3148">
        <w:rPr>
          <w:rFonts w:ascii="Arial" w:eastAsia="Arial" w:hAnsi="Arial" w:cs="Arial"/>
          <w:sz w:val="20"/>
          <w:szCs w:val="20"/>
        </w:rPr>
        <w:t>decision making – how decisions are taken and who is taking them, including how much senior staff are paid, and</w:t>
      </w:r>
    </w:p>
    <w:p w14:paraId="1614F23B" w14:textId="77777777" w:rsidR="004235C2" w:rsidRPr="00DC3148" w:rsidRDefault="004235C2">
      <w:pPr>
        <w:spacing w:line="187" w:lineRule="exact"/>
        <w:rPr>
          <w:rFonts w:ascii="Arial" w:eastAsia="Arial" w:hAnsi="Arial" w:cs="Arial"/>
          <w:sz w:val="20"/>
          <w:szCs w:val="20"/>
        </w:rPr>
      </w:pPr>
    </w:p>
    <w:p w14:paraId="3C9D8372" w14:textId="77777777" w:rsidR="004235C2" w:rsidRPr="00DC3148" w:rsidRDefault="00DC3148">
      <w:pPr>
        <w:numPr>
          <w:ilvl w:val="0"/>
          <w:numId w:val="3"/>
        </w:numPr>
        <w:tabs>
          <w:tab w:val="left" w:pos="180"/>
        </w:tabs>
        <w:ind w:left="180" w:hanging="180"/>
        <w:rPr>
          <w:rFonts w:ascii="Arial" w:eastAsia="Arial" w:hAnsi="Arial" w:cs="Arial"/>
          <w:sz w:val="20"/>
          <w:szCs w:val="20"/>
        </w:rPr>
      </w:pPr>
      <w:r w:rsidRPr="00DC3148">
        <w:rPr>
          <w:rFonts w:ascii="Arial" w:eastAsia="Arial" w:hAnsi="Arial" w:cs="Arial"/>
          <w:sz w:val="20"/>
          <w:szCs w:val="20"/>
        </w:rPr>
        <w:t>issues important to local people</w:t>
      </w:r>
    </w:p>
    <w:p w14:paraId="01C8873B" w14:textId="77777777" w:rsidR="004235C2" w:rsidRPr="00DC3148" w:rsidRDefault="004235C2">
      <w:pPr>
        <w:spacing w:line="196" w:lineRule="exact"/>
        <w:rPr>
          <w:rFonts w:ascii="Arial" w:hAnsi="Arial" w:cs="Arial"/>
          <w:sz w:val="20"/>
          <w:szCs w:val="20"/>
        </w:rPr>
      </w:pPr>
    </w:p>
    <w:p w14:paraId="666DCC7F" w14:textId="77777777" w:rsidR="004235C2" w:rsidRPr="00DC3148" w:rsidRDefault="00DC3148">
      <w:pPr>
        <w:spacing w:line="270" w:lineRule="auto"/>
        <w:ind w:right="66"/>
        <w:rPr>
          <w:rFonts w:ascii="Arial" w:hAnsi="Arial" w:cs="Arial"/>
          <w:sz w:val="20"/>
          <w:szCs w:val="20"/>
        </w:rPr>
      </w:pPr>
      <w:r w:rsidRPr="00DC3148">
        <w:rPr>
          <w:rFonts w:ascii="Arial" w:eastAsia="Arial" w:hAnsi="Arial" w:cs="Arial"/>
          <w:sz w:val="20"/>
          <w:szCs w:val="20"/>
        </w:rPr>
        <w:t>The Parish Council realises the importance of adhering to the Transparency Code and the Accessibility Regulations 2018 and will endeavour to comply with legislation.</w:t>
      </w:r>
    </w:p>
    <w:p w14:paraId="1D4B1CD9" w14:textId="77777777" w:rsidR="004235C2" w:rsidRPr="00DC3148" w:rsidRDefault="004235C2">
      <w:pPr>
        <w:spacing w:line="200" w:lineRule="exact"/>
        <w:rPr>
          <w:rFonts w:ascii="Arial" w:hAnsi="Arial" w:cs="Arial"/>
          <w:sz w:val="20"/>
          <w:szCs w:val="20"/>
        </w:rPr>
      </w:pPr>
    </w:p>
    <w:p w14:paraId="659E7C35" w14:textId="77777777" w:rsidR="004235C2" w:rsidRPr="00DC3148" w:rsidRDefault="004235C2">
      <w:pPr>
        <w:spacing w:line="200" w:lineRule="exact"/>
        <w:rPr>
          <w:rFonts w:ascii="Arial" w:hAnsi="Arial" w:cs="Arial"/>
          <w:sz w:val="20"/>
          <w:szCs w:val="20"/>
        </w:rPr>
      </w:pPr>
    </w:p>
    <w:sectPr w:rsidR="004235C2" w:rsidRPr="00DC3148">
      <w:pgSz w:w="11900" w:h="16838"/>
      <w:pgMar w:top="702" w:right="1440" w:bottom="416"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5CFF"/>
    <w:multiLevelType w:val="hybridMultilevel"/>
    <w:tmpl w:val="A9FCD8A4"/>
    <w:lvl w:ilvl="0" w:tplc="B6B85EDC">
      <w:start w:val="1"/>
      <w:numFmt w:val="bullet"/>
      <w:lvlText w:val="•"/>
      <w:lvlJc w:val="left"/>
    </w:lvl>
    <w:lvl w:ilvl="1" w:tplc="7318EB1A">
      <w:numFmt w:val="decimal"/>
      <w:lvlText w:val=""/>
      <w:lvlJc w:val="left"/>
    </w:lvl>
    <w:lvl w:ilvl="2" w:tplc="F06028AA">
      <w:numFmt w:val="decimal"/>
      <w:lvlText w:val=""/>
      <w:lvlJc w:val="left"/>
    </w:lvl>
    <w:lvl w:ilvl="3" w:tplc="7AE65526">
      <w:numFmt w:val="decimal"/>
      <w:lvlText w:val=""/>
      <w:lvlJc w:val="left"/>
    </w:lvl>
    <w:lvl w:ilvl="4" w:tplc="E96A2C10">
      <w:numFmt w:val="decimal"/>
      <w:lvlText w:val=""/>
      <w:lvlJc w:val="left"/>
    </w:lvl>
    <w:lvl w:ilvl="5" w:tplc="BF28096C">
      <w:numFmt w:val="decimal"/>
      <w:lvlText w:val=""/>
      <w:lvlJc w:val="left"/>
    </w:lvl>
    <w:lvl w:ilvl="6" w:tplc="C7605430">
      <w:numFmt w:val="decimal"/>
      <w:lvlText w:val=""/>
      <w:lvlJc w:val="left"/>
    </w:lvl>
    <w:lvl w:ilvl="7" w:tplc="50568934">
      <w:numFmt w:val="decimal"/>
      <w:lvlText w:val=""/>
      <w:lvlJc w:val="left"/>
    </w:lvl>
    <w:lvl w:ilvl="8" w:tplc="1F5A307E">
      <w:numFmt w:val="decimal"/>
      <w:lvlText w:val=""/>
      <w:lvlJc w:val="left"/>
    </w:lvl>
  </w:abstractNum>
  <w:abstractNum w:abstractNumId="1" w15:restartNumberingAfterBreak="0">
    <w:nsid w:val="66334873"/>
    <w:multiLevelType w:val="hybridMultilevel"/>
    <w:tmpl w:val="D98EC040"/>
    <w:lvl w:ilvl="0" w:tplc="F7145058">
      <w:start w:val="1"/>
      <w:numFmt w:val="bullet"/>
      <w:lvlText w:val="•"/>
      <w:lvlJc w:val="left"/>
    </w:lvl>
    <w:lvl w:ilvl="1" w:tplc="C7521C12">
      <w:numFmt w:val="decimal"/>
      <w:lvlText w:val=""/>
      <w:lvlJc w:val="left"/>
    </w:lvl>
    <w:lvl w:ilvl="2" w:tplc="360A8712">
      <w:numFmt w:val="decimal"/>
      <w:lvlText w:val=""/>
      <w:lvlJc w:val="left"/>
    </w:lvl>
    <w:lvl w:ilvl="3" w:tplc="1FFC6118">
      <w:numFmt w:val="decimal"/>
      <w:lvlText w:val=""/>
      <w:lvlJc w:val="left"/>
    </w:lvl>
    <w:lvl w:ilvl="4" w:tplc="35848E32">
      <w:numFmt w:val="decimal"/>
      <w:lvlText w:val=""/>
      <w:lvlJc w:val="left"/>
    </w:lvl>
    <w:lvl w:ilvl="5" w:tplc="B9269C52">
      <w:numFmt w:val="decimal"/>
      <w:lvlText w:val=""/>
      <w:lvlJc w:val="left"/>
    </w:lvl>
    <w:lvl w:ilvl="6" w:tplc="6136C69C">
      <w:numFmt w:val="decimal"/>
      <w:lvlText w:val=""/>
      <w:lvlJc w:val="left"/>
    </w:lvl>
    <w:lvl w:ilvl="7" w:tplc="D8F60746">
      <w:numFmt w:val="decimal"/>
      <w:lvlText w:val=""/>
      <w:lvlJc w:val="left"/>
    </w:lvl>
    <w:lvl w:ilvl="8" w:tplc="8B6AF0AE">
      <w:numFmt w:val="decimal"/>
      <w:lvlText w:val=""/>
      <w:lvlJc w:val="left"/>
    </w:lvl>
  </w:abstractNum>
  <w:abstractNum w:abstractNumId="2" w15:restartNumberingAfterBreak="0">
    <w:nsid w:val="74B0DC51"/>
    <w:multiLevelType w:val="hybridMultilevel"/>
    <w:tmpl w:val="CCDEF95E"/>
    <w:lvl w:ilvl="0" w:tplc="3DE4C8D6">
      <w:start w:val="1"/>
      <w:numFmt w:val="bullet"/>
      <w:lvlText w:val="•"/>
      <w:lvlJc w:val="left"/>
    </w:lvl>
    <w:lvl w:ilvl="1" w:tplc="663EED5E">
      <w:numFmt w:val="decimal"/>
      <w:lvlText w:val=""/>
      <w:lvlJc w:val="left"/>
    </w:lvl>
    <w:lvl w:ilvl="2" w:tplc="E3A25D66">
      <w:numFmt w:val="decimal"/>
      <w:lvlText w:val=""/>
      <w:lvlJc w:val="left"/>
    </w:lvl>
    <w:lvl w:ilvl="3" w:tplc="A36866BC">
      <w:numFmt w:val="decimal"/>
      <w:lvlText w:val=""/>
      <w:lvlJc w:val="left"/>
    </w:lvl>
    <w:lvl w:ilvl="4" w:tplc="A9441978">
      <w:numFmt w:val="decimal"/>
      <w:lvlText w:val=""/>
      <w:lvlJc w:val="left"/>
    </w:lvl>
    <w:lvl w:ilvl="5" w:tplc="9AC2858E">
      <w:numFmt w:val="decimal"/>
      <w:lvlText w:val=""/>
      <w:lvlJc w:val="left"/>
    </w:lvl>
    <w:lvl w:ilvl="6" w:tplc="05AA8A60">
      <w:numFmt w:val="decimal"/>
      <w:lvlText w:val=""/>
      <w:lvlJc w:val="left"/>
    </w:lvl>
    <w:lvl w:ilvl="7" w:tplc="F9DAE13A">
      <w:numFmt w:val="decimal"/>
      <w:lvlText w:val=""/>
      <w:lvlJc w:val="left"/>
    </w:lvl>
    <w:lvl w:ilvl="8" w:tplc="2BBC2310">
      <w:numFmt w:val="decimal"/>
      <w:lvlText w:val=""/>
      <w:lvlJc w:val="left"/>
    </w:lvl>
  </w:abstractNum>
  <w:num w:numId="1" w16cid:durableId="964387596">
    <w:abstractNumId w:val="1"/>
  </w:num>
  <w:num w:numId="2" w16cid:durableId="2124495208">
    <w:abstractNumId w:val="2"/>
  </w:num>
  <w:num w:numId="3" w16cid:durableId="10643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2"/>
    <w:rsid w:val="00125AF4"/>
    <w:rsid w:val="00150782"/>
    <w:rsid w:val="002704C9"/>
    <w:rsid w:val="004235C2"/>
    <w:rsid w:val="004947DC"/>
    <w:rsid w:val="0078336B"/>
    <w:rsid w:val="00A5701C"/>
    <w:rsid w:val="00D318F0"/>
    <w:rsid w:val="00DC3148"/>
    <w:rsid w:val="00D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157F"/>
  <w15:docId w15:val="{A2E99CD2-EEEF-45F9-A450-90360086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Brendan Mcnamara</cp:lastModifiedBy>
  <cp:revision>13</cp:revision>
  <dcterms:created xsi:type="dcterms:W3CDTF">2022-03-09T11:13:00Z</dcterms:created>
  <dcterms:modified xsi:type="dcterms:W3CDTF">2026-05-08T09:38:00Z</dcterms:modified>
</cp:coreProperties>
</file>